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0" w:rightFromText="180" w:vertAnchor="text" w:horzAnchor="margin" w:tblpY="-166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2243"/>
        <w:gridCol w:w="2860"/>
      </w:tblGrid>
      <w:tr w:rsidR="00146E78">
        <w:trPr>
          <w:trHeight w:val="20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6E78" w:rsidRDefault="00375175">
            <w:pPr>
              <w:tabs>
                <w:tab w:val="left" w:pos="5954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78740</wp:posOffset>
                  </wp:positionV>
                  <wp:extent cx="2457450" cy="1095375"/>
                  <wp:effectExtent l="0" t="0" r="0" b="0"/>
                  <wp:wrapNone/>
                  <wp:docPr id="1001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46E78" w:rsidRDefault="00146E78">
            <w:pPr>
              <w:rPr>
                <w:sz w:val="28"/>
                <w:szCs w:val="28"/>
              </w:rPr>
            </w:pPr>
          </w:p>
          <w:p w:rsidR="00146E78" w:rsidRDefault="00146E7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E78" w:rsidRDefault="00146E78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E78" w:rsidRDefault="00146E78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46E78" w:rsidRDefault="00146E78">
      <w:pPr>
        <w:jc w:val="center"/>
        <w:rPr>
          <w:b/>
          <w:sz w:val="28"/>
          <w:szCs w:val="28"/>
        </w:rPr>
      </w:pPr>
    </w:p>
    <w:p w:rsidR="00146E78" w:rsidRDefault="00146E78">
      <w:pPr>
        <w:jc w:val="center"/>
        <w:rPr>
          <w:b/>
          <w:sz w:val="28"/>
          <w:szCs w:val="28"/>
        </w:rPr>
      </w:pPr>
    </w:p>
    <w:p w:rsidR="00146E78" w:rsidRDefault="00146E78">
      <w:pPr>
        <w:jc w:val="center"/>
        <w:rPr>
          <w:b/>
          <w:sz w:val="28"/>
          <w:szCs w:val="28"/>
        </w:rPr>
      </w:pPr>
    </w:p>
    <w:p w:rsidR="00146E78" w:rsidRDefault="00146E78">
      <w:pPr>
        <w:jc w:val="center"/>
        <w:rPr>
          <w:b/>
          <w:sz w:val="28"/>
          <w:szCs w:val="28"/>
        </w:rPr>
      </w:pPr>
    </w:p>
    <w:p w:rsidR="00146E78" w:rsidRDefault="00146E78">
      <w:pPr>
        <w:jc w:val="center"/>
        <w:rPr>
          <w:b/>
          <w:sz w:val="28"/>
          <w:szCs w:val="28"/>
        </w:rPr>
      </w:pPr>
    </w:p>
    <w:p w:rsidR="00146E78" w:rsidRDefault="00146E78">
      <w:pPr>
        <w:jc w:val="center"/>
        <w:rPr>
          <w:b/>
          <w:sz w:val="28"/>
          <w:szCs w:val="28"/>
        </w:rPr>
      </w:pPr>
    </w:p>
    <w:p w:rsidR="00146E78" w:rsidRDefault="00146E78">
      <w:pPr>
        <w:jc w:val="center"/>
        <w:rPr>
          <w:b/>
          <w:sz w:val="36"/>
          <w:szCs w:val="36"/>
        </w:rPr>
      </w:pPr>
    </w:p>
    <w:p w:rsidR="00146E78" w:rsidRDefault="00146E78">
      <w:pPr>
        <w:jc w:val="center"/>
        <w:rPr>
          <w:b/>
          <w:sz w:val="36"/>
          <w:szCs w:val="36"/>
        </w:rPr>
      </w:pPr>
    </w:p>
    <w:p w:rsidR="00146E78" w:rsidRDefault="00146E78">
      <w:pPr>
        <w:jc w:val="center"/>
        <w:rPr>
          <w:b/>
          <w:sz w:val="36"/>
          <w:szCs w:val="36"/>
        </w:rPr>
      </w:pPr>
    </w:p>
    <w:p w:rsidR="00146E78" w:rsidRDefault="003751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:rsidR="00146E78" w:rsidRDefault="00146E78">
      <w:pPr>
        <w:jc w:val="center"/>
        <w:rPr>
          <w:b/>
          <w:sz w:val="32"/>
          <w:szCs w:val="32"/>
        </w:rPr>
      </w:pPr>
    </w:p>
    <w:p w:rsidR="00146E78" w:rsidRDefault="00375175">
      <w:pPr>
        <w:widowControl w:val="0"/>
        <w:tabs>
          <w:tab w:val="left" w:pos="0"/>
        </w:tabs>
        <w:ind w:left="709"/>
        <w:jc w:val="center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>
        <w:rPr>
          <w:bCs/>
          <w:sz w:val="28"/>
          <w:szCs w:val="28"/>
        </w:rPr>
        <w:t>образовательной организацией</w:t>
      </w:r>
    </w:p>
    <w:p w:rsidR="00146E78" w:rsidRDefault="00375175">
      <w:pPr>
        <w:tabs>
          <w:tab w:val="left" w:pos="3544"/>
        </w:tabs>
        <w:spacing w:line="276" w:lineRule="auto"/>
        <w:jc w:val="center"/>
      </w:pPr>
      <w:r>
        <w:rPr>
          <w:color w:val="000000"/>
          <w:sz w:val="28"/>
          <w:szCs w:val="28"/>
        </w:rPr>
        <w:t>ГБУ ДО ДЕТСКАЯ ШКОЛА ИСКУССТВ №5 Г. ГРОЗНОГО</w:t>
      </w:r>
    </w:p>
    <w:p w:rsidR="00146E78" w:rsidRDefault="00375175">
      <w:pPr>
        <w:spacing w:line="276" w:lineRule="auto"/>
        <w:jc w:val="center"/>
      </w:pPr>
      <w:r>
        <w:rPr>
          <w:sz w:val="28"/>
          <w:szCs w:val="28"/>
        </w:rPr>
        <w:t xml:space="preserve">в соответствии с показателями, характеризующими общие критерии оценки качества </w:t>
      </w:r>
      <w:r>
        <w:rPr>
          <w:bCs/>
          <w:sz w:val="28"/>
          <w:szCs w:val="28"/>
        </w:rPr>
        <w:t>условий осу</w:t>
      </w:r>
      <w:r>
        <w:rPr>
          <w:bCs/>
          <w:sz w:val="28"/>
          <w:szCs w:val="28"/>
        </w:rPr>
        <w:t xml:space="preserve">ществления образовательной деятельности </w:t>
      </w:r>
      <w:r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146E78" w:rsidRDefault="00146E78">
      <w:pPr>
        <w:spacing w:line="276" w:lineRule="auto"/>
        <w:jc w:val="center"/>
        <w:rPr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146E78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146E78" w:rsidRDefault="00375175">
      <w:pPr>
        <w:widowControl w:val="0"/>
        <w:tabs>
          <w:tab w:val="left" w:pos="0"/>
        </w:tabs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г. Грозный, 2024</w:t>
      </w:r>
    </w:p>
    <w:p w:rsidR="00146E78" w:rsidRDefault="00375175">
      <w:pPr>
        <w:spacing w:after="160" w:line="259" w:lineRule="auto"/>
        <w:rPr>
          <w:bCs/>
          <w:spacing w:val="-7"/>
          <w:sz w:val="28"/>
          <w:szCs w:val="28"/>
        </w:rPr>
      </w:pPr>
      <w:r>
        <w:br w:type="page"/>
      </w:r>
    </w:p>
    <w:p w:rsidR="00146E78" w:rsidRDefault="0037517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Аналитический отчет</w:t>
      </w:r>
    </w:p>
    <w:p w:rsidR="00146E78" w:rsidRDefault="00375175">
      <w:pPr>
        <w:widowControl w:val="0"/>
        <w:tabs>
          <w:tab w:val="left" w:pos="0"/>
        </w:tabs>
        <w:ind w:left="709"/>
        <w:jc w:val="center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>осуществления образовательной деятельности об</w:t>
      </w:r>
      <w:r>
        <w:rPr>
          <w:bCs/>
          <w:sz w:val="28"/>
          <w:szCs w:val="28"/>
        </w:rPr>
        <w:t>разовательной организацией</w:t>
      </w:r>
    </w:p>
    <w:p w:rsidR="00146E78" w:rsidRDefault="00375175">
      <w:pPr>
        <w:tabs>
          <w:tab w:val="left" w:pos="3544"/>
        </w:tabs>
        <w:jc w:val="center"/>
      </w:pPr>
      <w:r>
        <w:rPr>
          <w:color w:val="000000"/>
          <w:sz w:val="28"/>
          <w:szCs w:val="28"/>
        </w:rPr>
        <w:t>ГБУ ДО ДЕТСКАЯ ШКОЛА ИСКУССТВ №5 Г. ГРОЗНОГО</w:t>
      </w:r>
    </w:p>
    <w:p w:rsidR="00146E78" w:rsidRDefault="00375175">
      <w:pPr>
        <w:jc w:val="center"/>
      </w:pPr>
      <w:r>
        <w:rPr>
          <w:sz w:val="28"/>
          <w:szCs w:val="28"/>
        </w:rPr>
        <w:t xml:space="preserve">в соответствии с показателями, характеризующими общие критерии оценки качества </w:t>
      </w:r>
      <w:r>
        <w:rPr>
          <w:bCs/>
          <w:sz w:val="28"/>
          <w:szCs w:val="28"/>
        </w:rPr>
        <w:t xml:space="preserve">условий осуществления образовательной деятельности </w:t>
      </w:r>
      <w:r>
        <w:rPr>
          <w:sz w:val="28"/>
          <w:szCs w:val="28"/>
        </w:rPr>
        <w:t>образовательными организациями, в отношении которых пр</w:t>
      </w:r>
      <w:r>
        <w:rPr>
          <w:sz w:val="28"/>
          <w:szCs w:val="28"/>
        </w:rPr>
        <w:t>оводится независимая оценка</w:t>
      </w:r>
    </w:p>
    <w:p w:rsidR="00146E78" w:rsidRDefault="00146E78">
      <w:pPr>
        <w:spacing w:line="276" w:lineRule="auto"/>
        <w:jc w:val="center"/>
        <w:rPr>
          <w:sz w:val="28"/>
          <w:szCs w:val="28"/>
        </w:rPr>
      </w:pPr>
    </w:p>
    <w:p w:rsidR="00146E78" w:rsidRDefault="00375175">
      <w:pPr>
        <w:widowControl w:val="0"/>
        <w:tabs>
          <w:tab w:val="left" w:pos="0"/>
        </w:tabs>
        <w:jc w:val="both"/>
      </w:pPr>
      <w:r>
        <w:rPr>
          <w:sz w:val="28"/>
          <w:szCs w:val="28"/>
        </w:rPr>
        <w:tab/>
        <w:t>г. Грозный                                                                         23 декабря 2024 года</w:t>
      </w:r>
    </w:p>
    <w:p w:rsidR="00146E78" w:rsidRDefault="00146E78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146E78" w:rsidRDefault="00375175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Сбор и обобщение информации о качестве условий </w:t>
      </w:r>
      <w:r>
        <w:rPr>
          <w:bCs/>
          <w:sz w:val="28"/>
          <w:szCs w:val="28"/>
        </w:rPr>
        <w:t>осуществления образовательной деятельности образовательной организацией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ГБУ ДО ДЕТСКАЯ ШКОЛА ИСКУССТВ №5 Г. ГРОЗНОГО </w:t>
      </w:r>
      <w:r>
        <w:rPr>
          <w:sz w:val="28"/>
          <w:szCs w:val="28"/>
        </w:rPr>
        <w:t xml:space="preserve">осуществлено организацией-оператором – АНО «Северо-Кавказский центр профессионально-общественной аккредитации» </w:t>
      </w:r>
      <w:r>
        <w:rPr>
          <w:color w:val="000000"/>
          <w:sz w:val="28"/>
          <w:szCs w:val="28"/>
        </w:rPr>
        <w:t>во исполнение ч.2 ст.95 Федерального Закона от 29.12.2012г. № 273-ФЗ «Об образовании в Российской Фе</w:t>
      </w:r>
      <w:r>
        <w:rPr>
          <w:color w:val="000000"/>
          <w:sz w:val="28"/>
          <w:szCs w:val="28"/>
        </w:rPr>
        <w:t xml:space="preserve">дерации» </w:t>
      </w:r>
      <w:r>
        <w:rPr>
          <w:sz w:val="28"/>
          <w:szCs w:val="28"/>
        </w:rPr>
        <w:t>в соответствии со следующими нормативно-правовыми актами и методическими рекомендациями:</w:t>
      </w:r>
    </w:p>
    <w:p w:rsidR="00146E78" w:rsidRDefault="0037517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Правительства Российской Федерации от 31 мая 2018 г. № 638 «Об утверждении Правил сбор</w:t>
      </w:r>
      <w:r>
        <w:rPr>
          <w:sz w:val="28"/>
          <w:szCs w:val="28"/>
        </w:rPr>
        <w:t>а и обобщения информации о качестве условий оказания ус</w:t>
      </w:r>
      <w:r>
        <w:rPr>
          <w:sz w:val="28"/>
          <w:szCs w:val="28"/>
        </w:rPr>
        <w:t>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146E78" w:rsidRDefault="0037517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Приказ Минтруда России от 31 мая 2018 г. № 344н «Об утверждении Единого порядка расчета показателей, ха</w:t>
      </w:r>
      <w:r>
        <w:rPr>
          <w:sz w:val="28"/>
          <w:szCs w:val="28"/>
        </w:rPr>
        <w:t>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146E78" w:rsidRDefault="0037517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Министерства просвещения Российс</w:t>
      </w:r>
      <w:r>
        <w:rPr>
          <w:sz w:val="28"/>
          <w:szCs w:val="28"/>
        </w:rPr>
        <w:t>кой Федерации от 13.03.2019 № 114 "Об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</w:t>
      </w:r>
      <w:r>
        <w:rPr>
          <w:sz w:val="28"/>
          <w:szCs w:val="28"/>
        </w:rPr>
        <w:t>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программам".</w:t>
      </w:r>
    </w:p>
    <w:p w:rsidR="00146E78" w:rsidRDefault="0037517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Методические рекомендации к Единому порядку расчета показателей независимой оценк</w:t>
      </w:r>
      <w:r>
        <w:rPr>
          <w:sz w:val="28"/>
          <w:szCs w:val="28"/>
        </w:rPr>
        <w:t>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</w:t>
      </w:r>
      <w:r>
        <w:rPr>
          <w:sz w:val="28"/>
          <w:szCs w:val="28"/>
        </w:rPr>
        <w:t>фессионального обучения, дополнительным общеобразовательным программам (с учетом отраслевых особенностей).</w:t>
      </w:r>
    </w:p>
    <w:p w:rsidR="00146E78" w:rsidRDefault="0037517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исходные сведения об организации:</w:t>
      </w:r>
    </w:p>
    <w:p w:rsidR="00146E78" w:rsidRDefault="00375175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beforeAutospacing="1"/>
        <w:jc w:val="both"/>
        <w:textAlignment w:val="top"/>
      </w:pPr>
      <w:r>
        <w:rPr>
          <w:b/>
          <w:sz w:val="28"/>
          <w:szCs w:val="28"/>
        </w:rPr>
        <w:lastRenderedPageBreak/>
        <w:t>Наименование организации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ГБУ ДО ДЕТСКАЯ ШКОЛА ИСКУССТВ №5 Г. ГРОЗНОГО</w:t>
      </w:r>
    </w:p>
    <w:p w:rsidR="00146E78" w:rsidRDefault="00375175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</w:pPr>
      <w:r>
        <w:rPr>
          <w:b/>
          <w:sz w:val="28"/>
          <w:szCs w:val="28"/>
        </w:rPr>
        <w:t>Юридический адрес организации: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364046, Чеченская Респ, г Грозный, р-н Шейх-Мансуровский, ул Пятигорская, д 7</w:t>
      </w:r>
      <w:r>
        <w:rPr>
          <w:b/>
          <w:sz w:val="28"/>
          <w:szCs w:val="28"/>
        </w:rPr>
        <w:t>.</w:t>
      </w:r>
    </w:p>
    <w:p w:rsidR="00146E78" w:rsidRDefault="00375175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contextualSpacing w:val="0"/>
        <w:jc w:val="both"/>
        <w:textAlignment w:val="top"/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27.11.2024 по 17.12.2024 гг. </w:t>
      </w:r>
    </w:p>
    <w:p w:rsidR="00146E78" w:rsidRDefault="00375175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Дата визита представителей организации-оператора в организацию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18.11.2024</w:t>
      </w:r>
      <w:r>
        <w:rPr>
          <w:sz w:val="28"/>
          <w:szCs w:val="28"/>
        </w:rPr>
        <w:t xml:space="preserve"> г.</w:t>
      </w:r>
    </w:p>
    <w:p w:rsidR="00146E78" w:rsidRDefault="00375175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Численност</w:t>
      </w:r>
      <w:r>
        <w:rPr>
          <w:b/>
          <w:sz w:val="28"/>
          <w:szCs w:val="28"/>
        </w:rPr>
        <w:t xml:space="preserve">ь респондентов в образовательной организации 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72</w:t>
      </w:r>
      <w:r>
        <w:rPr>
          <w:sz w:val="28"/>
          <w:szCs w:val="28"/>
        </w:rPr>
        <w:t xml:space="preserve"> чел.</w:t>
      </w:r>
    </w:p>
    <w:p w:rsidR="00146E78" w:rsidRDefault="00146E78">
      <w:pPr>
        <w:pStyle w:val="af1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:rsidR="00146E78" w:rsidRDefault="00375175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осуществления образовательной деятельности </w:t>
      </w:r>
      <w:r>
        <w:rPr>
          <w:color w:val="000000"/>
          <w:sz w:val="28"/>
          <w:szCs w:val="28"/>
        </w:rPr>
        <w:t>ГБУ ДО ДЕТСКАЯ ШКОЛА ИСКУССТВ №5 Г. ГРОЗНОГО</w:t>
      </w:r>
    </w:p>
    <w:p w:rsidR="00146E78" w:rsidRDefault="00146E78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f4"/>
        <w:tblW w:w="9776" w:type="dxa"/>
        <w:tblLayout w:type="fixed"/>
        <w:tblLook w:val="04A0" w:firstRow="1" w:lastRow="0" w:firstColumn="1" w:lastColumn="0" w:noHBand="0" w:noVBand="1"/>
      </w:tblPr>
      <w:tblGrid>
        <w:gridCol w:w="2676"/>
        <w:gridCol w:w="7100"/>
      </w:tblGrid>
      <w:tr w:rsidR="00146E78" w:rsidTr="00E94F09">
        <w:tc>
          <w:tcPr>
            <w:tcW w:w="2676" w:type="dxa"/>
            <w:shd w:val="clear" w:color="auto" w:fill="DEEAF6" w:themeFill="accent1" w:themeFillTint="33"/>
          </w:tcPr>
          <w:p w:rsidR="00146E78" w:rsidRDefault="00375175">
            <w:pPr>
              <w:jc w:val="both"/>
            </w:pPr>
            <w:r>
              <w:t>Критерий 1</w:t>
            </w:r>
          </w:p>
        </w:tc>
        <w:tc>
          <w:tcPr>
            <w:tcW w:w="7100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Открытость и доступность информации об организации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37517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Пок. 1.1.</w:t>
            </w: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375175">
            <w:pPr>
              <w:jc w:val="both"/>
            </w:pPr>
            <w:r>
              <w:t xml:space="preserve">на </w:t>
            </w:r>
            <w:r>
              <w:rPr>
                <w:u w:val="single"/>
              </w:rPr>
              <w:t>информационных стендах</w:t>
            </w:r>
            <w:r>
              <w:t xml:space="preserve"> в помещении организации</w:t>
            </w: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pStyle w:val="af1"/>
              <w:widowControl w:val="0"/>
              <w:numPr>
                <w:ilvl w:val="0"/>
                <w:numId w:val="4"/>
              </w:numPr>
              <w:ind w:left="397" w:hanging="340"/>
              <w:jc w:val="both"/>
            </w:pPr>
            <w:r>
              <w:t>Обеспечить наличие на стендах в обр</w:t>
            </w:r>
            <w:r>
              <w:t>азовательной организации недостающей информации согласно нулевым значениям в приложении к настоящему отчету.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375175">
            <w:pPr>
              <w:jc w:val="both"/>
            </w:pPr>
            <w:r>
              <w:t xml:space="preserve">на </w:t>
            </w:r>
            <w:r>
              <w:rPr>
                <w:u w:val="single"/>
              </w:rPr>
              <w:t>официальном сайте</w:t>
            </w:r>
            <w:r>
              <w:t xml:space="preserve"> организации в информационно-телекоммуникационной сети "Интернет"</w:t>
            </w: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pStyle w:val="af1"/>
              <w:widowControl w:val="0"/>
              <w:numPr>
                <w:ilvl w:val="0"/>
                <w:numId w:val="5"/>
              </w:numPr>
              <w:ind w:left="397" w:hanging="340"/>
              <w:jc w:val="both"/>
            </w:pPr>
            <w:r>
              <w:t>Обеспечить наличие на сайте образовательной организации недо</w:t>
            </w:r>
            <w:r>
              <w:t>стающей информации согласно нулевым значениям в приложении к настоящему отчету.</w:t>
            </w:r>
          </w:p>
        </w:tc>
      </w:tr>
      <w:tr w:rsidR="00146E78" w:rsidTr="00E94F09">
        <w:tc>
          <w:tcPr>
            <w:tcW w:w="2676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Критерий 2</w:t>
            </w:r>
          </w:p>
        </w:tc>
        <w:tc>
          <w:tcPr>
            <w:tcW w:w="7100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Комфортность условий предоставления услуг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37517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Пок. 2.1.</w:t>
            </w: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в организации комфортных условий для предоставления образовательных услуг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146E78">
            <w:pPr>
              <w:jc w:val="both"/>
            </w:pP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jc w:val="both"/>
            </w:pPr>
            <w:r>
              <w:t>Разместить навигационные указатели в фойе образовательной организации с указанием структурных подразделений, кабинетов</w:t>
            </w:r>
            <w:r>
              <w:t>, этажности)</w:t>
            </w:r>
          </w:p>
        </w:tc>
      </w:tr>
      <w:tr w:rsidR="00146E78" w:rsidTr="00E94F09">
        <w:tc>
          <w:tcPr>
            <w:tcW w:w="2676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Критерий 3</w:t>
            </w:r>
          </w:p>
        </w:tc>
        <w:tc>
          <w:tcPr>
            <w:tcW w:w="7100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Доступность услуг для инвалидов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375175">
            <w:pPr>
              <w:jc w:val="both"/>
            </w:pPr>
            <w:r>
              <w:t>Пок. 3.1.</w:t>
            </w: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jc w:val="both"/>
            </w:pPr>
            <w: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146E78">
            <w:pPr>
              <w:jc w:val="both"/>
            </w:pPr>
          </w:p>
        </w:tc>
        <w:tc>
          <w:tcPr>
            <w:tcW w:w="7100" w:type="dxa"/>
            <w:shd w:val="clear" w:color="auto" w:fill="auto"/>
          </w:tcPr>
          <w:p w:rsidR="00E94F09" w:rsidRDefault="00E94F09" w:rsidP="00E94F09">
            <w:pPr>
              <w:jc w:val="both"/>
            </w:pPr>
            <w:r>
              <w:t>Рекомендации экспертов:</w:t>
            </w:r>
          </w:p>
          <w:p w:rsidR="00146E78" w:rsidRDefault="00E94F09" w:rsidP="00E94F09">
            <w:pPr>
              <w:jc w:val="both"/>
            </w:pPr>
            <w:r>
              <w:t xml:space="preserve">1. </w:t>
            </w:r>
            <w:r w:rsidR="00375175">
              <w:t xml:space="preserve">Обеспечить </w:t>
            </w:r>
            <w:r w:rsidR="00375175">
              <w:t>наличие выделенных стоянок для автотранспортных средств инвалидов:</w:t>
            </w:r>
          </w:p>
          <w:p w:rsidR="00146E78" w:rsidRDefault="00375175">
            <w:pPr>
              <w:pStyle w:val="af1"/>
              <w:jc w:val="both"/>
            </w:pPr>
            <w:r>
              <w:t>-</w:t>
            </w:r>
            <w:r>
              <w:t xml:space="preserve"> нанести соответствующую разметку на дорожное покрытие стоянки</w:t>
            </w:r>
          </w:p>
          <w:p w:rsidR="00146E78" w:rsidRDefault="00375175">
            <w:pPr>
              <w:pStyle w:val="af1"/>
              <w:jc w:val="both"/>
            </w:pPr>
            <w:r>
              <w:t>- разместить соответствующий знак стоянки для инвалидов</w:t>
            </w:r>
          </w:p>
          <w:p w:rsidR="00E94F09" w:rsidRDefault="00375175" w:rsidP="00E94F09">
            <w:pPr>
              <w:pStyle w:val="af1"/>
              <w:jc w:val="both"/>
            </w:pPr>
            <w:r>
              <w:t>- обеспечить свободное место стоянки для автотранспортных средств инв</w:t>
            </w:r>
            <w:r>
              <w:t>алидов на постоянной основе</w:t>
            </w:r>
            <w:r w:rsidR="00E94F09">
              <w:t>.</w:t>
            </w:r>
          </w:p>
          <w:p w:rsidR="00146E78" w:rsidRDefault="00E94F09" w:rsidP="00E94F09">
            <w:pPr>
              <w:jc w:val="both"/>
            </w:pPr>
            <w:r>
              <w:t>2</w:t>
            </w:r>
            <w:r w:rsidR="00375175">
              <w:t>. Обеспечить наличие с доступность специально обо</w:t>
            </w:r>
            <w:r w:rsidR="00375175">
              <w:t>рудованных санитарно-гигиенических помещений:</w:t>
            </w:r>
          </w:p>
          <w:p w:rsidR="00146E78" w:rsidRDefault="00375175">
            <w:pPr>
              <w:pStyle w:val="af1"/>
              <w:ind w:left="352"/>
              <w:jc w:val="both"/>
            </w:pPr>
            <w:r>
              <w:t>-</w:t>
            </w:r>
            <w:r>
              <w:t xml:space="preserve"> оснастить санузлы и уборные специализированными опорными поручнями, кнопками вызова персонала образовательной организации, специализированными </w:t>
            </w:r>
            <w:r>
              <w:lastRenderedPageBreak/>
              <w:t>крючками для размещения опорных приспособлений  (тростей, костыле</w:t>
            </w:r>
            <w:r>
              <w:t>й)</w:t>
            </w:r>
          </w:p>
        </w:tc>
      </w:tr>
      <w:tr w:rsidR="00146E78" w:rsidTr="00E94F09">
        <w:tc>
          <w:tcPr>
            <w:tcW w:w="2676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Критерий 5</w:t>
            </w:r>
          </w:p>
        </w:tc>
        <w:tc>
          <w:tcPr>
            <w:tcW w:w="7100" w:type="dxa"/>
            <w:shd w:val="clear" w:color="auto" w:fill="DEEAF6" w:themeFill="accent1" w:themeFillTint="33"/>
          </w:tcPr>
          <w:p w:rsidR="00146E78" w:rsidRDefault="00375175">
            <w:pPr>
              <w:jc w:val="center"/>
            </w:pPr>
            <w:r>
              <w:t>Удовлетворенность условиями оказания услуг</w:t>
            </w:r>
          </w:p>
        </w:tc>
      </w:tr>
      <w:tr w:rsidR="00146E78" w:rsidTr="00E94F09">
        <w:tc>
          <w:tcPr>
            <w:tcW w:w="2676" w:type="dxa"/>
            <w:shd w:val="clear" w:color="auto" w:fill="auto"/>
          </w:tcPr>
          <w:p w:rsidR="00146E78" w:rsidRDefault="00146E78">
            <w:pPr>
              <w:jc w:val="both"/>
            </w:pPr>
          </w:p>
        </w:tc>
        <w:tc>
          <w:tcPr>
            <w:tcW w:w="7100" w:type="dxa"/>
            <w:shd w:val="clear" w:color="auto" w:fill="auto"/>
          </w:tcPr>
          <w:p w:rsidR="00146E78" w:rsidRDefault="0037517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экспертов:</w:t>
            </w:r>
          </w:p>
          <w:p w:rsidR="00146E78" w:rsidRDefault="00375175">
            <w:pPr>
              <w:jc w:val="both"/>
            </w:pPr>
            <w:r>
              <w:t xml:space="preserve">Рассмотреть возможность систематического получения обратной связи от получателей услуг и выполнения их рекомендаций с целью увеличения количества получателей услуг, </w:t>
            </w:r>
            <w:r>
              <w:t>готовых рекомендовать образовательную организацию родственникам и знакомым, а также повышения уровня удовлетворенности условиями оказания услуг в образовательной организации в целом</w:t>
            </w:r>
          </w:p>
        </w:tc>
      </w:tr>
    </w:tbl>
    <w:p w:rsidR="00146E78" w:rsidRDefault="00146E78">
      <w:pPr>
        <w:ind w:firstLine="709"/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146E78" w:rsidRDefault="003751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Интегральное значение по совокупности общих критериев</w:t>
      </w:r>
      <w:r>
        <w:rPr>
          <w:sz w:val="28"/>
          <w:szCs w:val="28"/>
        </w:rPr>
        <w:t>, с учетом значимости показате</w:t>
      </w:r>
      <w:r>
        <w:rPr>
          <w:sz w:val="28"/>
          <w:szCs w:val="28"/>
        </w:rPr>
        <w:t xml:space="preserve">лей, в отношении </w:t>
      </w:r>
      <w:r>
        <w:rPr>
          <w:bCs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</w:p>
    <w:p w:rsidR="00146E78" w:rsidRDefault="00375175">
      <w:pPr>
        <w:jc w:val="both"/>
      </w:pPr>
      <w:r>
        <w:rPr>
          <w:color w:val="000000"/>
          <w:sz w:val="28"/>
          <w:szCs w:val="28"/>
        </w:rPr>
        <w:t>ГБУ ДО ДЕТСКАЯ ШКОЛА ИСКУССТВ №5 Г. ГРОЗНОГО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составило </w:t>
      </w:r>
      <w:r>
        <w:rPr>
          <w:b/>
          <w:bCs/>
          <w:color w:val="000000"/>
          <w:sz w:val="28"/>
          <w:szCs w:val="28"/>
        </w:rPr>
        <w:t>95.06</w:t>
      </w:r>
      <w:r>
        <w:rPr>
          <w:b/>
          <w:color w:val="000000" w:themeColor="text1"/>
          <w:sz w:val="28"/>
          <w:szCs w:val="28"/>
        </w:rPr>
        <w:t xml:space="preserve"> балла</w:t>
      </w:r>
      <w:r>
        <w:rPr>
          <w:sz w:val="28"/>
          <w:szCs w:val="28"/>
        </w:rPr>
        <w:t xml:space="preserve">. Детализация показателей общих </w:t>
      </w:r>
      <w:r>
        <w:rPr>
          <w:sz w:val="28"/>
          <w:szCs w:val="28"/>
        </w:rPr>
        <w:t>критериев, участвующих в ф</w:t>
      </w:r>
      <w:r>
        <w:rPr>
          <w:sz w:val="28"/>
          <w:szCs w:val="28"/>
        </w:rPr>
        <w:t>ормировании интегрального значения приведена в Приложении №1.</w:t>
      </w:r>
    </w:p>
    <w:p w:rsidR="00146E78" w:rsidRDefault="0037517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Сведения, полученные по итогам реализации дистанционного и очного этапов сбора и обобщения информации о качестве условий осуществления образовательной деятельности в со</w:t>
      </w:r>
      <w:r>
        <w:rPr>
          <w:sz w:val="28"/>
          <w:szCs w:val="28"/>
        </w:rPr>
        <w:t>ответствии с показателями, характеризующими общие критерии оценки качества условий осуществления образовательной деятельности образовательными организациями, в отношении которых проводится независимая оценка, подлежат передаче в Общественный совет при Мини</w:t>
      </w:r>
      <w:r>
        <w:rPr>
          <w:sz w:val="28"/>
          <w:szCs w:val="28"/>
        </w:rPr>
        <w:t>стерстве образования и науки Чеченской Республики по проведению независимой оценки качества условий осуществления образовательной деятельности образовательными организациями Чеченской Республики для принятия решения о присвоении рейтинга организации и форм</w:t>
      </w:r>
      <w:r>
        <w:rPr>
          <w:sz w:val="28"/>
          <w:szCs w:val="28"/>
        </w:rPr>
        <w:t>ирования плана мероприятий по улучшению качества условий осуществления образовательной деятельности образовательной организацией.</w:t>
      </w:r>
    </w:p>
    <w:p w:rsidR="00146E78" w:rsidRDefault="003751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46E78" w:rsidRDefault="00146E78">
      <w:pPr>
        <w:rPr>
          <w:b/>
          <w:sz w:val="28"/>
          <w:szCs w:val="28"/>
        </w:rPr>
      </w:pPr>
    </w:p>
    <w:p w:rsidR="00146E78" w:rsidRDefault="00146E78">
      <w:pPr>
        <w:rPr>
          <w:b/>
          <w:sz w:val="28"/>
          <w:szCs w:val="28"/>
        </w:rPr>
      </w:pPr>
    </w:p>
    <w:p w:rsidR="00146E78" w:rsidRDefault="003751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>
        <w:rPr>
          <w:b/>
          <w:sz w:val="28"/>
          <w:szCs w:val="28"/>
        </w:rPr>
        <w:tab/>
        <w:t>Е.С. Квасова</w:t>
      </w:r>
    </w:p>
    <w:p w:rsidR="00146E78" w:rsidRDefault="00146E78">
      <w:pPr>
        <w:rPr>
          <w:b/>
          <w:sz w:val="28"/>
          <w:szCs w:val="28"/>
        </w:rPr>
      </w:pPr>
    </w:p>
    <w:p w:rsidR="00146E78" w:rsidRDefault="00146E78">
      <w:pPr>
        <w:rPr>
          <w:sz w:val="28"/>
          <w:szCs w:val="28"/>
        </w:rPr>
      </w:pPr>
    </w:p>
    <w:sectPr w:rsidR="00146E78">
      <w:headerReference w:type="default" r:id="rId9"/>
      <w:pgSz w:w="11906" w:h="16838"/>
      <w:pgMar w:top="1135" w:right="566" w:bottom="993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75" w:rsidRDefault="00375175">
      <w:r>
        <w:separator/>
      </w:r>
    </w:p>
  </w:endnote>
  <w:endnote w:type="continuationSeparator" w:id="0">
    <w:p w:rsidR="00375175" w:rsidRDefault="0037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75" w:rsidRDefault="00375175">
      <w:r>
        <w:separator/>
      </w:r>
    </w:p>
  </w:footnote>
  <w:footnote w:type="continuationSeparator" w:id="0">
    <w:p w:rsidR="00375175" w:rsidRDefault="0037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5077"/>
      <w:docPartObj>
        <w:docPartGallery w:val="Page Numbers (Top of Page)"/>
        <w:docPartUnique/>
      </w:docPartObj>
    </w:sdtPr>
    <w:sdtEndPr/>
    <w:sdtContent>
      <w:p w:rsidR="00146E78" w:rsidRDefault="00375175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4F09">
          <w:rPr>
            <w:noProof/>
          </w:rPr>
          <w:t>3</w:t>
        </w:r>
        <w:r>
          <w:fldChar w:fldCharType="end"/>
        </w:r>
      </w:p>
    </w:sdtContent>
  </w:sdt>
  <w:p w:rsidR="00146E78" w:rsidRDefault="0037517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3B7"/>
    <w:multiLevelType w:val="multilevel"/>
    <w:tmpl w:val="25545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00" w:hanging="1584"/>
      </w:pPr>
    </w:lvl>
  </w:abstractNum>
  <w:abstractNum w:abstractNumId="1" w15:restartNumberingAfterBreak="0">
    <w:nsid w:val="063A2202"/>
    <w:multiLevelType w:val="multilevel"/>
    <w:tmpl w:val="A824F1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F16DCA"/>
    <w:multiLevelType w:val="multilevel"/>
    <w:tmpl w:val="3A46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5F41B8"/>
    <w:multiLevelType w:val="multilevel"/>
    <w:tmpl w:val="F97EF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382ADA"/>
    <w:multiLevelType w:val="multilevel"/>
    <w:tmpl w:val="748E0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ED6022"/>
    <w:multiLevelType w:val="multilevel"/>
    <w:tmpl w:val="8D22BF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99574B6"/>
    <w:multiLevelType w:val="multilevel"/>
    <w:tmpl w:val="5DA4F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0843D7C"/>
    <w:multiLevelType w:val="multilevel"/>
    <w:tmpl w:val="0419001F"/>
    <w:lvl w:ilvl="0">
      <w:start w:val="1"/>
      <w:numFmt w:val="decimal"/>
      <w:pStyle w:val="-1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58552AE"/>
    <w:multiLevelType w:val="multilevel"/>
    <w:tmpl w:val="51C2E9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78"/>
    <w:rsid w:val="00146E78"/>
    <w:rsid w:val="00375175"/>
    <w:rsid w:val="00E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C40F"/>
  <w15:docId w15:val="{BA144D83-DE52-4608-8C13-A6D3DA8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1BA"/>
  </w:style>
  <w:style w:type="character" w:customStyle="1" w:styleId="a5">
    <w:name w:val="Нижний колонтитул Знак"/>
    <w:basedOn w:val="a0"/>
    <w:link w:val="a6"/>
    <w:uiPriority w:val="99"/>
    <w:qFormat/>
    <w:rsid w:val="008B31BA"/>
  </w:style>
  <w:style w:type="character" w:customStyle="1" w:styleId="-">
    <w:name w:val="Интернет-ссылка"/>
    <w:basedOn w:val="a0"/>
    <w:uiPriority w:val="99"/>
    <w:unhideWhenUsed/>
    <w:rsid w:val="00EB4910"/>
    <w:rPr>
      <w:color w:val="0563C1" w:themeColor="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qFormat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C6DDE"/>
    <w:rPr>
      <w:b/>
      <w:bCs/>
    </w:rPr>
  </w:style>
  <w:style w:type="character" w:styleId="aa">
    <w:name w:val="Emphasis"/>
    <w:basedOn w:val="a0"/>
    <w:uiPriority w:val="20"/>
    <w:qFormat/>
    <w:rsid w:val="00525EF1"/>
    <w:rPr>
      <w:i/>
      <w:iCs/>
    </w:rPr>
  </w:style>
  <w:style w:type="character" w:customStyle="1" w:styleId="val">
    <w:name w:val="val"/>
    <w:basedOn w:val="a0"/>
    <w:qFormat/>
    <w:rsid w:val="004D5F5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nsPlusNormal">
    <w:name w:val="ConsPlusNormal"/>
    <w:qFormat/>
    <w:rsid w:val="001045A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1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1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F97998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525EF1"/>
    <w:pPr>
      <w:spacing w:beforeAutospacing="1" w:afterAutospacing="1"/>
    </w:pPr>
  </w:style>
  <w:style w:type="paragraph" w:customStyle="1" w:styleId="-11">
    <w:name w:val="Цветной список - Акцент 11"/>
    <w:basedOn w:val="a"/>
    <w:qFormat/>
    <w:rsid w:val="00782F1A"/>
    <w:pPr>
      <w:widowControl w:val="0"/>
      <w:numPr>
        <w:numId w:val="3"/>
      </w:numPr>
      <w:tabs>
        <w:tab w:val="left" w:pos="993"/>
      </w:tabs>
      <w:spacing w:before="120" w:after="60"/>
      <w:jc w:val="both"/>
    </w:pPr>
    <w:rPr>
      <w:rFonts w:ascii="Times New Roman CYR" w:hAnsi="Times New Roman CYR"/>
    </w:rPr>
  </w:style>
  <w:style w:type="paragraph" w:customStyle="1" w:styleId="af3">
    <w:name w:val="Содержимое врезки"/>
    <w:basedOn w:val="a"/>
    <w:qFormat/>
  </w:style>
  <w:style w:type="numbering" w:customStyle="1" w:styleId="61">
    <w:name w:val="Стиль61"/>
    <w:uiPriority w:val="99"/>
    <w:qFormat/>
    <w:rsid w:val="00F06582"/>
  </w:style>
  <w:style w:type="table" w:styleId="af4">
    <w:name w:val="Table Grid"/>
    <w:basedOn w:val="a1"/>
    <w:uiPriority w:val="39"/>
    <w:rsid w:val="00D4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891C-F6E7-4DE0-AB98-92055222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5</cp:revision>
  <cp:lastPrinted>2019-07-24T18:58:00Z</cp:lastPrinted>
  <dcterms:created xsi:type="dcterms:W3CDTF">2024-12-26T01:05:00Z</dcterms:created>
  <dcterms:modified xsi:type="dcterms:W3CDTF">2025-01-07T11:01:00Z</dcterms:modified>
  <dc:language>ru-RU</dc:language>
</cp:coreProperties>
</file>